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B7709B" w14:textId="77777777" w:rsidR="00DA36E8" w:rsidRDefault="00DA36E8">
      <w:pPr>
        <w:sectPr w:rsidR="00DA36E8">
          <w:headerReference w:type="default" r:id="rId8"/>
          <w:type w:val="continuous"/>
          <w:pgSz w:w="12240" w:h="15840" w:code="1"/>
          <w:pgMar w:top="2880" w:right="1800" w:bottom="1440" w:left="1800" w:header="720" w:footer="720" w:gutter="0"/>
          <w:cols w:space="720"/>
        </w:sectPr>
      </w:pPr>
    </w:p>
    <w:p w14:paraId="5367E7F6" w14:textId="457C12B9" w:rsidR="00952AD4" w:rsidRPr="004048C0" w:rsidRDefault="008C469B" w:rsidP="00952AD4">
      <w:r>
        <w:rPr>
          <w:b/>
        </w:rPr>
        <w:t>TO:</w:t>
      </w:r>
      <w:r>
        <w:rPr>
          <w:b/>
        </w:rPr>
        <w:tab/>
      </w:r>
      <w:r>
        <w:rPr>
          <w:b/>
        </w:rPr>
        <w:tab/>
      </w:r>
      <w:r w:rsidR="00B32C13">
        <w:t>Merritt Lander</w:t>
      </w:r>
      <w:r w:rsidR="00952AD4" w:rsidRPr="004048C0">
        <w:t>, Attorney</w:t>
      </w:r>
    </w:p>
    <w:p w14:paraId="543AB9BC" w14:textId="77777777" w:rsidR="00952AD4" w:rsidRPr="004048C0" w:rsidRDefault="00952AD4" w:rsidP="00952AD4">
      <w:pPr>
        <w:ind w:left="1440"/>
      </w:pPr>
      <w:r w:rsidRPr="004048C0">
        <w:t>Legal Division</w:t>
      </w:r>
    </w:p>
    <w:p w14:paraId="6BF43451" w14:textId="77777777" w:rsidR="008C469B" w:rsidRDefault="008C469B" w:rsidP="008C469B">
      <w:pPr>
        <w:tabs>
          <w:tab w:val="left" w:pos="1170"/>
        </w:tabs>
      </w:pPr>
      <w:r>
        <w:tab/>
      </w:r>
      <w:r>
        <w:tab/>
      </w:r>
    </w:p>
    <w:p w14:paraId="38AF6BF7" w14:textId="77777777" w:rsidR="00B32C13" w:rsidRPr="00F82F6E" w:rsidRDefault="008C469B" w:rsidP="00B32C13">
      <w:r>
        <w:rPr>
          <w:b/>
        </w:rPr>
        <w:t>FROM:</w:t>
      </w:r>
      <w:r>
        <w:rPr>
          <w:b/>
        </w:rPr>
        <w:tab/>
      </w:r>
      <w:r w:rsidR="00B32C13">
        <w:t>Alicia Maloy</w:t>
      </w:r>
      <w:r w:rsidR="00B32C13" w:rsidRPr="00EA0B92">
        <w:t xml:space="preserve">, </w:t>
      </w:r>
      <w:r w:rsidR="00B32C13">
        <w:t>Senior Infrastructure Analyst</w:t>
      </w:r>
    </w:p>
    <w:p w14:paraId="03552E62" w14:textId="77777777" w:rsidR="00952AD4" w:rsidRPr="00F82F6E" w:rsidRDefault="00952AD4" w:rsidP="00952AD4">
      <w:pPr>
        <w:ind w:left="1440"/>
      </w:pPr>
      <w:r>
        <w:t>Infrastructure</w:t>
      </w:r>
      <w:r w:rsidRPr="00F82F6E">
        <w:t xml:space="preserve"> Division</w:t>
      </w:r>
    </w:p>
    <w:p w14:paraId="75E118B3" w14:textId="7C1BA223" w:rsidR="008C469B" w:rsidRDefault="008C469B" w:rsidP="008C469B">
      <w:pPr>
        <w:tabs>
          <w:tab w:val="left" w:pos="1170"/>
        </w:tabs>
        <w:spacing w:before="240"/>
      </w:pPr>
      <w:r>
        <w:rPr>
          <w:b/>
        </w:rPr>
        <w:t>DATE:</w:t>
      </w:r>
      <w:r>
        <w:rPr>
          <w:b/>
        </w:rPr>
        <w:tab/>
      </w:r>
      <w:r>
        <w:rPr>
          <w:b/>
        </w:rPr>
        <w:tab/>
      </w:r>
      <w:r w:rsidR="00B32C13" w:rsidRPr="00B32C13">
        <w:rPr>
          <w:bCs/>
        </w:rPr>
        <w:t>February 5, 2021</w:t>
      </w:r>
    </w:p>
    <w:p w14:paraId="577D8696" w14:textId="77777777" w:rsidR="0028111B" w:rsidRDefault="0028111B" w:rsidP="008C469B">
      <w:pPr>
        <w:tabs>
          <w:tab w:val="left" w:pos="1170"/>
        </w:tabs>
        <w:spacing w:before="240"/>
      </w:pPr>
    </w:p>
    <w:p w14:paraId="05A10721" w14:textId="5998E84E" w:rsidR="008C469B" w:rsidRDefault="008C469B" w:rsidP="008C469B">
      <w:pPr>
        <w:ind w:left="1440" w:right="-450" w:hanging="1440"/>
        <w:rPr>
          <w:b/>
          <w:i/>
          <w:szCs w:val="24"/>
        </w:rPr>
      </w:pPr>
      <w:r>
        <w:rPr>
          <w:b/>
        </w:rPr>
        <w:t>RE:</w:t>
      </w:r>
      <w:r>
        <w:rPr>
          <w:b/>
        </w:rPr>
        <w:tab/>
      </w:r>
      <w:r w:rsidR="00B32C13" w:rsidRPr="00EA0B92">
        <w:rPr>
          <w:b/>
        </w:rPr>
        <w:t xml:space="preserve">Docket </w:t>
      </w:r>
      <w:r w:rsidR="00B32C13" w:rsidRPr="0030163B">
        <w:rPr>
          <w:b/>
        </w:rPr>
        <w:t>No</w:t>
      </w:r>
      <w:r w:rsidR="00B32C13" w:rsidRPr="001318EF">
        <w:rPr>
          <w:b/>
        </w:rPr>
        <w:t>.</w:t>
      </w:r>
      <w:r w:rsidR="00B32C13">
        <w:rPr>
          <w:b/>
        </w:rPr>
        <w:t xml:space="preserve"> 48350</w:t>
      </w:r>
      <w:r w:rsidR="00B32C13" w:rsidRPr="00EA0B92">
        <w:t xml:space="preserve">, </w:t>
      </w:r>
      <w:r w:rsidR="00B32C13" w:rsidRPr="00EA0B92">
        <w:rPr>
          <w:i/>
        </w:rPr>
        <w:t xml:space="preserve">Application of </w:t>
      </w:r>
      <w:r w:rsidR="00B32C13">
        <w:rPr>
          <w:i/>
        </w:rPr>
        <w:t>the City of Dayton</w:t>
      </w:r>
      <w:r w:rsidR="00B32C13" w:rsidRPr="00EA0B92">
        <w:rPr>
          <w:i/>
        </w:rPr>
        <w:t xml:space="preserve"> </w:t>
      </w:r>
      <w:r w:rsidR="00B32C13">
        <w:rPr>
          <w:i/>
        </w:rPr>
        <w:t>for</w:t>
      </w:r>
      <w:r w:rsidR="00B32C13" w:rsidRPr="00EA0B92">
        <w:rPr>
          <w:i/>
        </w:rPr>
        <w:t xml:space="preserve"> Certificate</w:t>
      </w:r>
      <w:r w:rsidR="00B32C13" w:rsidRPr="001B2628">
        <w:rPr>
          <w:i/>
        </w:rPr>
        <w:t>s</w:t>
      </w:r>
      <w:r w:rsidR="00B32C13" w:rsidRPr="00EA0B92">
        <w:rPr>
          <w:i/>
        </w:rPr>
        <w:t xml:space="preserve"> of Convenience and Necessity in </w:t>
      </w:r>
      <w:r w:rsidR="00B32C13">
        <w:rPr>
          <w:i/>
        </w:rPr>
        <w:t>Liberty</w:t>
      </w:r>
      <w:r w:rsidR="00B32C13" w:rsidRPr="00EA0B92">
        <w:rPr>
          <w:i/>
        </w:rPr>
        <w:t xml:space="preserve"> </w:t>
      </w:r>
      <w:r w:rsidR="00711FED">
        <w:rPr>
          <w:i/>
        </w:rPr>
        <w:t xml:space="preserve">and Harris </w:t>
      </w:r>
      <w:r w:rsidR="00B32C13" w:rsidRPr="00EA0B92">
        <w:rPr>
          <w:i/>
        </w:rPr>
        <w:t>Count</w:t>
      </w:r>
      <w:r w:rsidR="00711FED">
        <w:rPr>
          <w:i/>
        </w:rPr>
        <w:t>ies</w:t>
      </w:r>
    </w:p>
    <w:p w14:paraId="0D9B4047"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0754F987" wp14:editId="61F561A5">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6AE263"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2FD0C3E6" w14:textId="017F3677" w:rsidR="00BD7851" w:rsidRDefault="00BD7851" w:rsidP="00BD7851">
      <w:pPr>
        <w:pStyle w:val="ListParagraph"/>
        <w:ind w:left="0"/>
        <w:jc w:val="both"/>
      </w:pPr>
      <w:bookmarkStart w:id="0" w:name="_Hlk48892844"/>
      <w:r>
        <w:t xml:space="preserve">On </w:t>
      </w:r>
      <w:r w:rsidRPr="009322A6">
        <w:t>March 25, 2020</w:t>
      </w:r>
      <w:r>
        <w:t xml:space="preserve"> </w:t>
      </w:r>
      <w:r w:rsidR="001626F9">
        <w:t xml:space="preserve">the City of </w:t>
      </w:r>
      <w:r>
        <w:t>Dayton</w:t>
      </w:r>
      <w:r w:rsidR="001626F9">
        <w:t xml:space="preserve"> (Dayton)</w:t>
      </w:r>
      <w:r>
        <w:t xml:space="preserve"> filed</w:t>
      </w:r>
      <w:r w:rsidR="006578B8">
        <w:t xml:space="preserve"> an affidavit attesting to</w:t>
      </w:r>
      <w:r>
        <w:t xml:space="preserve"> supplemental notice </w:t>
      </w:r>
      <w:r w:rsidR="006578B8">
        <w:t xml:space="preserve">having been provided </w:t>
      </w:r>
      <w:r>
        <w:t xml:space="preserve">to landowners who submitted </w:t>
      </w:r>
      <w:r w:rsidR="001626F9">
        <w:t>n</w:t>
      </w:r>
      <w:r>
        <w:t xml:space="preserve">onconforming </w:t>
      </w:r>
      <w:r w:rsidR="001626F9">
        <w:t>o</w:t>
      </w:r>
      <w:r>
        <w:t xml:space="preserve">pt-out </w:t>
      </w:r>
      <w:r w:rsidR="001626F9">
        <w:t>r</w:t>
      </w:r>
      <w:r>
        <w:t>equests (NC</w:t>
      </w:r>
      <w:r w:rsidR="001E2DD2">
        <w:t>O</w:t>
      </w:r>
      <w:r>
        <w:t xml:space="preserve">R), </w:t>
      </w:r>
      <w:r w:rsidR="003A4666">
        <w:t>requests that d</w:t>
      </w:r>
      <w:r w:rsidR="00841F58">
        <w:t>o</w:t>
      </w:r>
      <w:r w:rsidR="003A4666">
        <w:t xml:space="preserve"> not meet the requirements of </w:t>
      </w:r>
      <w:r w:rsidR="003A4666" w:rsidRPr="003A4666">
        <w:t>Texas Water Code §</w:t>
      </w:r>
      <w:r w:rsidR="008514FC">
        <w:t> </w:t>
      </w:r>
      <w:r w:rsidR="003A4666" w:rsidRPr="003A4666">
        <w:t xml:space="preserve">13.246(h) </w:t>
      </w:r>
      <w:r w:rsidR="00507871">
        <w:t>and</w:t>
      </w:r>
      <w:r w:rsidR="003A4666" w:rsidRPr="003A4666">
        <w:t xml:space="preserve"> 16 Tex</w:t>
      </w:r>
      <w:r w:rsidR="001626F9">
        <w:t>as</w:t>
      </w:r>
      <w:r w:rsidR="003A4666" w:rsidRPr="003A4666">
        <w:t xml:space="preserve"> Admin</w:t>
      </w:r>
      <w:r w:rsidR="001626F9">
        <w:t>istrative</w:t>
      </w:r>
      <w:r w:rsidR="003A4666" w:rsidRPr="003A4666">
        <w:t xml:space="preserve"> Code § 24.227(</w:t>
      </w:r>
      <w:proofErr w:type="spellStart"/>
      <w:r w:rsidR="000E0F5B">
        <w:t>i</w:t>
      </w:r>
      <w:proofErr w:type="spellEnd"/>
      <w:r w:rsidR="003A4666">
        <w:t>)</w:t>
      </w:r>
      <w:r w:rsidR="00841F58">
        <w:t>.  O</w:t>
      </w:r>
      <w:r>
        <w:t xml:space="preserve">n November 30, 2020, </w:t>
      </w:r>
      <w:r w:rsidR="00841F58">
        <w:t xml:space="preserve">Dayton </w:t>
      </w:r>
      <w:r w:rsidR="003A4666">
        <w:t>filed</w:t>
      </w:r>
      <w:r w:rsidR="006813F2">
        <w:t xml:space="preserve"> a second supplement to its amended application, which included</w:t>
      </w:r>
      <w:r w:rsidR="003A4666">
        <w:t xml:space="preserve"> </w:t>
      </w:r>
      <w:r w:rsidR="004B2A5C">
        <w:t xml:space="preserve">information </w:t>
      </w:r>
      <w:r>
        <w:t>received from landowners in response to Dayton’s NC</w:t>
      </w:r>
      <w:r w:rsidR="001E2DD2">
        <w:t>O</w:t>
      </w:r>
      <w:r>
        <w:t>R letters</w:t>
      </w:r>
      <w:r w:rsidR="001E2DD2">
        <w:t>,</w:t>
      </w:r>
      <w:r w:rsidR="00841F58">
        <w:t xml:space="preserve"> a</w:t>
      </w:r>
      <w:r w:rsidR="001E2DD2">
        <w:t>long with</w:t>
      </w:r>
      <w:r>
        <w:t xml:space="preserve"> revised maps and digital mapping data</w:t>
      </w:r>
      <w:r w:rsidR="00841F58">
        <w:t xml:space="preserve"> t</w:t>
      </w:r>
      <w:r w:rsidR="00301D23">
        <w:t>o</w:t>
      </w:r>
      <w:r>
        <w:t xml:space="preserve"> resolve the mapping and need for service deficiencies </w:t>
      </w:r>
      <w:r w:rsidR="00711FED">
        <w:t>identified</w:t>
      </w:r>
      <w:r>
        <w:t xml:space="preserve"> in </w:t>
      </w:r>
      <w:r w:rsidR="00711FED">
        <w:t>S</w:t>
      </w:r>
      <w:r>
        <w:t>taff’s memo</w:t>
      </w:r>
      <w:r w:rsidR="008514FC">
        <w:t>randum</w:t>
      </w:r>
      <w:r>
        <w:t xml:space="preserve"> filed on August 25, 2020. </w:t>
      </w:r>
    </w:p>
    <w:p w14:paraId="76F82877" w14:textId="77777777" w:rsidR="00BD7851" w:rsidRDefault="00BD7851" w:rsidP="00BD7851">
      <w:pPr>
        <w:pStyle w:val="ListParagraph"/>
        <w:ind w:left="0"/>
        <w:jc w:val="both"/>
      </w:pPr>
    </w:p>
    <w:p w14:paraId="29355C3C" w14:textId="379AFC0B" w:rsidR="00BD7851" w:rsidRPr="00533300" w:rsidRDefault="00BD7851" w:rsidP="00BD7851">
      <w:pPr>
        <w:pStyle w:val="ListParagraph"/>
        <w:ind w:left="0"/>
        <w:jc w:val="both"/>
      </w:pPr>
      <w:r>
        <w:t>Dayton</w:t>
      </w:r>
      <w:r w:rsidRPr="00533300">
        <w:t xml:space="preserve"> </w:t>
      </w:r>
      <w:r>
        <w:t xml:space="preserve">voluntarily </w:t>
      </w:r>
      <w:r w:rsidRPr="00533300">
        <w:t>agreed to send the NC</w:t>
      </w:r>
      <w:r w:rsidR="00E645AC">
        <w:t>O</w:t>
      </w:r>
      <w:r w:rsidRPr="00533300">
        <w:t>R letters</w:t>
      </w:r>
      <w:r w:rsidR="00E94FA3">
        <w:t xml:space="preserve"> </w:t>
      </w:r>
      <w:r w:rsidR="00E94FA3" w:rsidRPr="00533300">
        <w:t xml:space="preserve">asking </w:t>
      </w:r>
      <w:r w:rsidR="00E94FA3">
        <w:t>landowners</w:t>
      </w:r>
      <w:r w:rsidR="00E94FA3" w:rsidRPr="00533300">
        <w:t xml:space="preserve"> to provide additional documentation to resolve acreage discrepancies in their opt-out requests</w:t>
      </w:r>
      <w:r w:rsidRPr="00533300">
        <w:t xml:space="preserve"> </w:t>
      </w:r>
      <w:r w:rsidR="003A4666">
        <w:t xml:space="preserve">where </w:t>
      </w:r>
      <w:r w:rsidRPr="00533300">
        <w:t>the total acreage s</w:t>
      </w:r>
      <w:r w:rsidR="008514FC">
        <w:t>ta</w:t>
      </w:r>
      <w:r w:rsidRPr="00533300">
        <w:t>ted in the landowner opt-out request d</w:t>
      </w:r>
      <w:r w:rsidR="001E2DD2">
        <w:t>id</w:t>
      </w:r>
      <w:r w:rsidRPr="00533300">
        <w:t xml:space="preserve"> not closely match the parcel data</w:t>
      </w:r>
      <w:r>
        <w:t xml:space="preserve"> </w:t>
      </w:r>
      <w:r w:rsidR="008514FC">
        <w:t xml:space="preserve">Dayton </w:t>
      </w:r>
      <w:r>
        <w:t xml:space="preserve">utilized from </w:t>
      </w:r>
      <w:r w:rsidR="008514FC">
        <w:t xml:space="preserve">the </w:t>
      </w:r>
      <w:r>
        <w:t>Chambers, Harris, or Liberty County Appraisal Districts (CAD sources)</w:t>
      </w:r>
      <w:r w:rsidR="008514FC">
        <w:t xml:space="preserve"> to revise </w:t>
      </w:r>
      <w:r w:rsidR="00962F92">
        <w:t xml:space="preserve">the </w:t>
      </w:r>
      <w:r w:rsidR="008514FC">
        <w:t xml:space="preserve">digital mapping </w:t>
      </w:r>
      <w:r w:rsidR="00962F92">
        <w:t xml:space="preserve">supporting the application </w:t>
      </w:r>
      <w:r w:rsidR="008514FC">
        <w:t>to reflect the opt</w:t>
      </w:r>
      <w:r w:rsidR="005F5557">
        <w:t>-</w:t>
      </w:r>
      <w:r w:rsidR="008514FC">
        <w:t>outs</w:t>
      </w:r>
      <w:r w:rsidRPr="00533300">
        <w:t xml:space="preserve">. </w:t>
      </w:r>
      <w:r w:rsidR="003A4666">
        <w:t xml:space="preserve"> </w:t>
      </w:r>
      <w:r w:rsidR="003A4666" w:rsidRPr="00533300">
        <w:t>The landowners listed below were not mailed a</w:t>
      </w:r>
      <w:r w:rsidR="001E2DD2">
        <w:t>n NC</w:t>
      </w:r>
      <w:r w:rsidR="00E645AC">
        <w:t>O</w:t>
      </w:r>
      <w:r w:rsidR="001E2DD2">
        <w:t>R</w:t>
      </w:r>
      <w:r w:rsidR="003A4666" w:rsidRPr="00533300">
        <w:t xml:space="preserve"> </w:t>
      </w:r>
      <w:r w:rsidR="003A4666">
        <w:t>letter</w:t>
      </w:r>
      <w:r w:rsidR="00E94FA3">
        <w:t>:</w:t>
      </w:r>
    </w:p>
    <w:p w14:paraId="7F203F23" w14:textId="77777777" w:rsidR="00BD7851" w:rsidRPr="00533300" w:rsidRDefault="00BD7851" w:rsidP="00BD7851">
      <w:pPr>
        <w:pStyle w:val="ListParagraph"/>
        <w:ind w:left="0"/>
        <w:jc w:val="both"/>
      </w:pPr>
    </w:p>
    <w:p w14:paraId="45352D90" w14:textId="4FC3FD60" w:rsidR="00BD7851" w:rsidRPr="007D7D45" w:rsidRDefault="00BD7851" w:rsidP="00BD7851">
      <w:pPr>
        <w:pStyle w:val="ListParagraph"/>
        <w:numPr>
          <w:ilvl w:val="0"/>
          <w:numId w:val="5"/>
        </w:numPr>
        <w:jc w:val="both"/>
      </w:pPr>
      <w:r w:rsidRPr="007D7D45">
        <w:t>River Ranch Holdings, LLC (</w:t>
      </w:r>
      <w:r w:rsidR="00E94FA3">
        <w:t>Interchange</w:t>
      </w:r>
      <w:r w:rsidRPr="007D7D45">
        <w:t xml:space="preserve"> Item Nos. 13, 22, 24)</w:t>
      </w:r>
    </w:p>
    <w:p w14:paraId="2421D95C" w14:textId="2CDC1B60" w:rsidR="00BD7851" w:rsidRPr="007D7D45" w:rsidRDefault="00BD7851" w:rsidP="00BD7851">
      <w:pPr>
        <w:pStyle w:val="ListParagraph"/>
        <w:numPr>
          <w:ilvl w:val="0"/>
          <w:numId w:val="5"/>
        </w:numPr>
        <w:jc w:val="both"/>
      </w:pPr>
      <w:r w:rsidRPr="007D7D45">
        <w:t xml:space="preserve">Daniel and Lisa </w:t>
      </w:r>
      <w:proofErr w:type="spellStart"/>
      <w:r w:rsidRPr="007D7D45">
        <w:t>Simnacher</w:t>
      </w:r>
      <w:proofErr w:type="spellEnd"/>
      <w:r w:rsidRPr="007D7D45">
        <w:t xml:space="preserve"> (</w:t>
      </w:r>
      <w:r w:rsidR="00E94FA3">
        <w:t>Interchange</w:t>
      </w:r>
      <w:r w:rsidRPr="007D7D45">
        <w:t xml:space="preserve"> Item Nos. 32, 33)</w:t>
      </w:r>
    </w:p>
    <w:p w14:paraId="419C756A" w14:textId="13130101" w:rsidR="00BD7851" w:rsidRPr="007D7D45" w:rsidRDefault="00BD7851" w:rsidP="00BD7851">
      <w:pPr>
        <w:pStyle w:val="ListParagraph"/>
        <w:numPr>
          <w:ilvl w:val="0"/>
          <w:numId w:val="5"/>
        </w:numPr>
        <w:jc w:val="both"/>
      </w:pPr>
      <w:r w:rsidRPr="007D7D45">
        <w:t>Keith and Connie Fitzhenry (</w:t>
      </w:r>
      <w:r w:rsidR="00E94FA3">
        <w:t>Interchange</w:t>
      </w:r>
      <w:r w:rsidRPr="007D7D45">
        <w:t xml:space="preserve"> Item No. 47)</w:t>
      </w:r>
    </w:p>
    <w:p w14:paraId="2A5138ED" w14:textId="77777777" w:rsidR="00BD7851" w:rsidRDefault="00BD7851" w:rsidP="00BD7851"/>
    <w:p w14:paraId="0901B8A3" w14:textId="2BAF8708" w:rsidR="00BD7851" w:rsidRDefault="00962F92" w:rsidP="00BD7851">
      <w:r>
        <w:t xml:space="preserve">In addition, </w:t>
      </w:r>
      <w:r w:rsidR="00BD7851">
        <w:t>Dayton</w:t>
      </w:r>
      <w:r w:rsidR="00DE5EB3">
        <w:t>’s revised digital mapping</w:t>
      </w:r>
      <w:r w:rsidR="00BD7851">
        <w:t xml:space="preserve"> </w:t>
      </w:r>
      <w:r w:rsidR="00DE5EB3">
        <w:t>does</w:t>
      </w:r>
      <w:r w:rsidR="00BD7851">
        <w:t xml:space="preserve"> not accurately remove each parcel</w:t>
      </w:r>
      <w:r w:rsidR="00C10F05">
        <w:rPr>
          <w:rStyle w:val="FootnoteReference"/>
        </w:rPr>
        <w:footnoteReference w:id="1"/>
      </w:r>
      <w:r w:rsidR="00BD7851">
        <w:t xml:space="preserve">  </w:t>
      </w:r>
      <w:r w:rsidR="00C10F05">
        <w:t>associated with the property that is the subject of</w:t>
      </w:r>
      <w:r w:rsidR="00DE5EB3">
        <w:t xml:space="preserve"> the opt</w:t>
      </w:r>
      <w:r w:rsidR="005F5557">
        <w:t>-</w:t>
      </w:r>
      <w:r w:rsidR="00DE5EB3">
        <w:t xml:space="preserve">out requests </w:t>
      </w:r>
      <w:r w:rsidR="00BD7851">
        <w:t>submitted by the following landowners:</w:t>
      </w:r>
    </w:p>
    <w:p w14:paraId="22150535" w14:textId="07DC0491" w:rsidR="00BD7851" w:rsidRDefault="00BD7851" w:rsidP="00BD7851">
      <w:pPr>
        <w:pStyle w:val="ListParagraph"/>
        <w:numPr>
          <w:ilvl w:val="0"/>
          <w:numId w:val="6"/>
        </w:numPr>
        <w:jc w:val="both"/>
      </w:pPr>
      <w:proofErr w:type="spellStart"/>
      <w:r>
        <w:t>PreCab,Inc</w:t>
      </w:r>
      <w:proofErr w:type="spellEnd"/>
      <w:r>
        <w:t xml:space="preserve"> (</w:t>
      </w:r>
      <w:r w:rsidR="00853D5E">
        <w:t>Interchange</w:t>
      </w:r>
      <w:r>
        <w:t xml:space="preserve"> Item No. 31)</w:t>
      </w:r>
    </w:p>
    <w:p w14:paraId="1B757A61" w14:textId="1EA7ED2B" w:rsidR="00BD7851" w:rsidRDefault="00BD7851" w:rsidP="00BD7851">
      <w:pPr>
        <w:pStyle w:val="ListParagraph"/>
        <w:numPr>
          <w:ilvl w:val="0"/>
          <w:numId w:val="6"/>
        </w:numPr>
        <w:jc w:val="both"/>
      </w:pPr>
      <w:r>
        <w:t>Weldon Alders (</w:t>
      </w:r>
      <w:r w:rsidR="00853D5E">
        <w:t>Interchange</w:t>
      </w:r>
      <w:r>
        <w:t xml:space="preserve"> Item No. 36)</w:t>
      </w:r>
    </w:p>
    <w:p w14:paraId="04E49097" w14:textId="77777777" w:rsidR="00BD7851" w:rsidRDefault="00BD7851" w:rsidP="00BD7851"/>
    <w:p w14:paraId="01EFF6B1" w14:textId="77777777" w:rsidR="008514FC" w:rsidRDefault="008514FC" w:rsidP="00BD7851"/>
    <w:p w14:paraId="4F8BB0EB" w14:textId="07FABD40" w:rsidR="00BD7851" w:rsidRDefault="00962F92" w:rsidP="00BD7851">
      <w:r>
        <w:t xml:space="preserve">As stated above, Dayton used CAD parcel data to revise its digital mapping to reflect each opt out request. Dayton also provided a spreadsheet with an entry for each landowner who filed an opt out request that includes, among other things, the number of parcels that correspond to the landowner’s property </w:t>
      </w:r>
      <w:r w:rsidR="00DE5EB3">
        <w:t xml:space="preserve">as shown in the CAD data </w:t>
      </w:r>
      <w:r>
        <w:t xml:space="preserve">and the number of property IDs </w:t>
      </w:r>
      <w:r w:rsidR="00DE5EB3">
        <w:t xml:space="preserve">that correspond to the landowner’s property as shown in the CAD data.  </w:t>
      </w:r>
      <w:r w:rsidR="00BD7851">
        <w:t xml:space="preserve">When comparing the </w:t>
      </w:r>
      <w:r w:rsidR="00DE5EB3">
        <w:t xml:space="preserve">number of </w:t>
      </w:r>
      <w:r w:rsidR="00BD7851">
        <w:t>parcel</w:t>
      </w:r>
      <w:r w:rsidR="00DE5EB3">
        <w:t>s in the revised digital mapping to the number of parcels and the number of property IDs in the spreadsheet, all three numbers should match.  In other words, if the digital CAD data for Property A shows 5 parcels, then entry on the spreadsheet for that landowner should also show 5 parcels and 5 property IDs. I</w:t>
      </w:r>
      <w:r w:rsidR="00EC6F92">
        <w:t>n several instances</w:t>
      </w:r>
      <w:r w:rsidR="00DE5EB3">
        <w:t>, the digital parcel data does not match the</w:t>
      </w:r>
      <w:r w:rsidR="00B758C4">
        <w:t xml:space="preserve"> number of parcels or the number of property IDs on the spreadsheet.  This results in a significant mismatch between</w:t>
      </w:r>
      <w:r w:rsidR="00EC6F92">
        <w:t xml:space="preserve"> the total </w:t>
      </w:r>
      <w:r w:rsidR="00AC666D">
        <w:t xml:space="preserve"> </w:t>
      </w:r>
      <w:r w:rsidR="00EC6F92">
        <w:t xml:space="preserve">acreage </w:t>
      </w:r>
      <w:r w:rsidR="00BC2876">
        <w:t>of each</w:t>
      </w:r>
      <w:r w:rsidR="00CB7E7F">
        <w:t xml:space="preserve"> landowner</w:t>
      </w:r>
      <w:r w:rsidR="00BC2876">
        <w:t>’s opt-out request</w:t>
      </w:r>
      <w:r w:rsidR="00B758C4">
        <w:t xml:space="preserve"> that is shown </w:t>
      </w:r>
      <w:r w:rsidR="00FD789C">
        <w:t>in</w:t>
      </w:r>
      <w:r w:rsidR="00CB7E7F">
        <w:t xml:space="preserve"> </w:t>
      </w:r>
      <w:r w:rsidR="00EC6F92">
        <w:t xml:space="preserve">the </w:t>
      </w:r>
      <w:r w:rsidR="00B758C4">
        <w:t xml:space="preserve">revised </w:t>
      </w:r>
      <w:r w:rsidR="00EC6F92">
        <w:t xml:space="preserve">digital </w:t>
      </w:r>
      <w:r w:rsidR="00CB7E7F">
        <w:t xml:space="preserve">mapping </w:t>
      </w:r>
      <w:r w:rsidR="00EC6F92">
        <w:t xml:space="preserve">data </w:t>
      </w:r>
      <w:r w:rsidR="00B758C4">
        <w:t>and</w:t>
      </w:r>
      <w:r w:rsidR="00BC2876">
        <w:t xml:space="preserve"> the </w:t>
      </w:r>
      <w:r w:rsidR="00DE2893">
        <w:t xml:space="preserve">total acreage </w:t>
      </w:r>
      <w:r w:rsidR="00BC2876">
        <w:t>provided in</w:t>
      </w:r>
      <w:r w:rsidR="00EC6F92">
        <w:t xml:space="preserve"> </w:t>
      </w:r>
      <w:r w:rsidR="007C4680">
        <w:t xml:space="preserve">Dayton’s </w:t>
      </w:r>
      <w:r w:rsidR="00EC6F92">
        <w:t>spreadsheet</w:t>
      </w:r>
      <w:r w:rsidR="00B758C4">
        <w:t xml:space="preserve"> </w:t>
      </w:r>
      <w:r w:rsidR="009E3083">
        <w:t xml:space="preserve">for </w:t>
      </w:r>
      <w:r w:rsidR="0028447E" w:rsidRPr="00E6595B">
        <w:t>15</w:t>
      </w:r>
      <w:r w:rsidR="00995C02" w:rsidRPr="00EC6F92">
        <w:t xml:space="preserve"> </w:t>
      </w:r>
      <w:r w:rsidR="00EC6F92" w:rsidRPr="00E6595B">
        <w:t xml:space="preserve">out </w:t>
      </w:r>
      <w:r w:rsidR="00995C02" w:rsidRPr="00EC6F92">
        <w:t>of 33</w:t>
      </w:r>
      <w:r w:rsidR="009E3083">
        <w:t xml:space="preserve"> landowner</w:t>
      </w:r>
      <w:r w:rsidR="00995C02">
        <w:t>s</w:t>
      </w:r>
      <w:r w:rsidR="00AC666D">
        <w:t xml:space="preserve"> </w:t>
      </w:r>
      <w:r w:rsidR="00AC666D" w:rsidRPr="00AC666D">
        <w:t>even though both acreages are derived from the same CAD parcel data</w:t>
      </w:r>
      <w:r w:rsidR="00BC779E">
        <w:t xml:space="preserve">. </w:t>
      </w:r>
      <w:r w:rsidR="00BD7851">
        <w:t xml:space="preserve">Therefore, </w:t>
      </w:r>
      <w:r w:rsidR="00B758C4">
        <w:t>S</w:t>
      </w:r>
      <w:r w:rsidR="00BD7851">
        <w:t xml:space="preserve">taff is unable to </w:t>
      </w:r>
      <w:r w:rsidR="00A829A7">
        <w:t xml:space="preserve">determine </w:t>
      </w:r>
      <w:r w:rsidR="00C513A9">
        <w:t xml:space="preserve">how </w:t>
      </w:r>
      <w:r w:rsidR="00BD7851">
        <w:t xml:space="preserve">Dayton has accounted for </w:t>
      </w:r>
      <w:r w:rsidR="00EC6F92">
        <w:t>the total acreage of each landowner’s opt-out request</w:t>
      </w:r>
      <w:r w:rsidR="00A829A7">
        <w:t xml:space="preserve"> using the CAD </w:t>
      </w:r>
      <w:r w:rsidR="00B758C4">
        <w:t>data</w:t>
      </w:r>
      <w:r w:rsidR="00BD7851">
        <w:t xml:space="preserve">. </w:t>
      </w:r>
    </w:p>
    <w:p w14:paraId="3D0F0CD3" w14:textId="77777777" w:rsidR="00BD7851" w:rsidRDefault="00BD7851" w:rsidP="00BD7851"/>
    <w:p w14:paraId="47210115" w14:textId="420C5D42" w:rsidR="00BD7851" w:rsidRDefault="00BD7851" w:rsidP="00B758C4">
      <w:pPr>
        <w:pStyle w:val="ListParagraph"/>
        <w:ind w:left="0"/>
        <w:jc w:val="both"/>
      </w:pPr>
      <w:r>
        <w:t>Staff recommends that the application and mapping documentation continue to be found deficient</w:t>
      </w:r>
      <w:bookmarkEnd w:id="0"/>
      <w:r>
        <w:t xml:space="preserve"> </w:t>
      </w:r>
      <w:r w:rsidR="00B758C4">
        <w:t xml:space="preserve">and </w:t>
      </w:r>
      <w:r>
        <w:t xml:space="preserve">that Dayton file the following items to resolve the mapping deficiencies: </w:t>
      </w:r>
    </w:p>
    <w:p w14:paraId="58336BFA" w14:textId="77777777" w:rsidR="00BD7851" w:rsidRDefault="00BD7851" w:rsidP="00BD7851">
      <w:pPr>
        <w:pStyle w:val="ListParagraph"/>
        <w:jc w:val="both"/>
      </w:pPr>
    </w:p>
    <w:p w14:paraId="47C23E7F" w14:textId="77777777" w:rsidR="00BD7851" w:rsidRPr="0090565F" w:rsidRDefault="00BD7851" w:rsidP="00BD7851">
      <w:pPr>
        <w:pStyle w:val="ListParagraph"/>
        <w:widowControl/>
        <w:numPr>
          <w:ilvl w:val="0"/>
          <w:numId w:val="4"/>
        </w:numPr>
        <w:overflowPunct w:val="0"/>
        <w:jc w:val="both"/>
        <w:textAlignment w:val="baseline"/>
      </w:pPr>
      <w:bookmarkStart w:id="1" w:name="_Hlk25222397"/>
      <w:r>
        <w:t>U</w:t>
      </w:r>
      <w:r w:rsidRPr="0090565F">
        <w:t>pdated and corrected digital mappin</w:t>
      </w:r>
      <w:r>
        <w:t>g data</w:t>
      </w:r>
      <w:r w:rsidRPr="0090565F">
        <w:t xml:space="preserve"> for the requested area provided in a polygon shapefile (SHP) format and georeferenced in NAD 83 Texas Statewide Mapping System (Meters). The digital mapping data must remove the following </w:t>
      </w:r>
      <w:r>
        <w:t xml:space="preserve">items </w:t>
      </w:r>
      <w:r w:rsidRPr="0090565F">
        <w:t>from the requested area:</w:t>
      </w:r>
    </w:p>
    <w:p w14:paraId="01E45E77" w14:textId="1D588274" w:rsidR="00BD7851" w:rsidRDefault="00BD7851" w:rsidP="00BD7851">
      <w:pPr>
        <w:numPr>
          <w:ilvl w:val="0"/>
          <w:numId w:val="3"/>
        </w:numPr>
        <w:tabs>
          <w:tab w:val="left" w:pos="2070"/>
        </w:tabs>
      </w:pPr>
      <w:r>
        <w:t>The settlement tracts that match</w:t>
      </w:r>
      <w:r w:rsidRPr="007221AB">
        <w:t xml:space="preserve"> the maps</w:t>
      </w:r>
      <w:r>
        <w:t xml:space="preserve"> and digital mapping data</w:t>
      </w:r>
      <w:r w:rsidRPr="007221AB">
        <w:t xml:space="preserve"> filed and agreed upon with Aqua Texas</w:t>
      </w:r>
      <w:r>
        <w:t>,</w:t>
      </w:r>
      <w:r w:rsidRPr="007221AB">
        <w:t xml:space="preserve"> </w:t>
      </w:r>
      <w:proofErr w:type="gramStart"/>
      <w:r w:rsidRPr="007221AB">
        <w:t>Inc</w:t>
      </w:r>
      <w:r>
        <w:t>;</w:t>
      </w:r>
      <w:proofErr w:type="gramEnd"/>
    </w:p>
    <w:p w14:paraId="3108A3EB" w14:textId="2F9BEB77" w:rsidR="00BD7851" w:rsidRDefault="00BD7851" w:rsidP="00BD7851">
      <w:pPr>
        <w:numPr>
          <w:ilvl w:val="0"/>
          <w:numId w:val="3"/>
        </w:numPr>
      </w:pPr>
      <w:r>
        <w:t xml:space="preserve">All </w:t>
      </w:r>
      <w:r w:rsidR="00B758C4">
        <w:t xml:space="preserve">parcels associated with each </w:t>
      </w:r>
      <w:r>
        <w:t xml:space="preserve">tract of land identified in each opt-out request filed with the </w:t>
      </w:r>
      <w:proofErr w:type="gramStart"/>
      <w:r>
        <w:t>Commission;</w:t>
      </w:r>
      <w:proofErr w:type="gramEnd"/>
      <w:r>
        <w:t xml:space="preserve"> </w:t>
      </w:r>
    </w:p>
    <w:p w14:paraId="33853A0D" w14:textId="0BA4F9FE" w:rsidR="00BD7851" w:rsidRDefault="00BD7851" w:rsidP="00BD7851">
      <w:pPr>
        <w:numPr>
          <w:ilvl w:val="0"/>
          <w:numId w:val="3"/>
        </w:numPr>
      </w:pPr>
      <w:r>
        <w:t xml:space="preserve">The gap </w:t>
      </w:r>
      <w:r w:rsidR="00527DAE">
        <w:t>between Dayton’s requested area and</w:t>
      </w:r>
      <w:r w:rsidR="00B758C4">
        <w:t xml:space="preserve"> the boundary of </w:t>
      </w:r>
      <w:r>
        <w:t xml:space="preserve"> Woodland Hills Water LLC</w:t>
      </w:r>
      <w:r w:rsidR="00B758C4">
        <w:t>’s service area</w:t>
      </w:r>
      <w:r>
        <w:t xml:space="preserve"> (CCN No. 12388); and</w:t>
      </w:r>
    </w:p>
    <w:p w14:paraId="1910E0BD" w14:textId="3D87084F" w:rsidR="00BD7851" w:rsidRDefault="007A4401" w:rsidP="00BD7851">
      <w:pPr>
        <w:numPr>
          <w:ilvl w:val="0"/>
          <w:numId w:val="3"/>
        </w:numPr>
      </w:pPr>
      <w:bookmarkStart w:id="2" w:name="_Hlk25228049"/>
      <w:bookmarkEnd w:id="1"/>
      <w:r>
        <w:t xml:space="preserve">Any area that does </w:t>
      </w:r>
      <w:r w:rsidR="00BD7851">
        <w:t xml:space="preserve"> not accurately align with Dayton’s current corporate boundaries </w:t>
      </w:r>
      <w:r w:rsidR="00527DAE">
        <w:t xml:space="preserve">as </w:t>
      </w:r>
      <w:r w:rsidR="00BD7851">
        <w:t>filed on November 30, 2020.</w:t>
      </w:r>
      <w:bookmarkEnd w:id="2"/>
    </w:p>
    <w:p w14:paraId="378A683C" w14:textId="77777777" w:rsidR="00BD7851" w:rsidRDefault="00BD7851" w:rsidP="00BD7851">
      <w:pPr>
        <w:ind w:left="1440"/>
      </w:pPr>
    </w:p>
    <w:p w14:paraId="53CD9AC4" w14:textId="6316A266" w:rsidR="00BD7851" w:rsidRDefault="00AC666D" w:rsidP="00BD7851">
      <w:pPr>
        <w:pStyle w:val="ListParagraph"/>
        <w:widowControl/>
        <w:numPr>
          <w:ilvl w:val="0"/>
          <w:numId w:val="4"/>
        </w:numPr>
        <w:autoSpaceDE/>
        <w:autoSpaceDN/>
        <w:adjustRightInd/>
        <w:jc w:val="both"/>
      </w:pPr>
      <w:r>
        <w:t>D</w:t>
      </w:r>
      <w:r w:rsidR="00BD7851">
        <w:t xml:space="preserve">igital mapping data </w:t>
      </w:r>
      <w:r>
        <w:t>that includes a number of parcels for each opt out request that matches the number o</w:t>
      </w:r>
      <w:r w:rsidR="00C10F05">
        <w:t>f</w:t>
      </w:r>
      <w:r>
        <w:t xml:space="preserve"> parcels and property IDs on the accompanying</w:t>
      </w:r>
      <w:r w:rsidR="00BD7851">
        <w:t xml:space="preserve"> spreadsheet </w:t>
      </w:r>
      <w:r>
        <w:t>such that the acreage for each opt out request shown in the digital mapping data matches the acreage for that opt out request as reflected on the spreadsheet</w:t>
      </w:r>
      <w:r w:rsidR="009C201F">
        <w:t>.</w:t>
      </w:r>
      <w:r w:rsidR="00BD7851">
        <w:t xml:space="preserve"> </w:t>
      </w:r>
    </w:p>
    <w:p w14:paraId="74F3199E" w14:textId="2D2ABA5C" w:rsidR="00B32C13" w:rsidRDefault="00B32C13" w:rsidP="00952AD4">
      <w:pPr>
        <w:pStyle w:val="NoSpacing"/>
        <w:jc w:val="both"/>
        <w:rPr>
          <w:highlight w:val="yellow"/>
        </w:rPr>
      </w:pPr>
    </w:p>
    <w:p w14:paraId="78F256A2" w14:textId="77777777" w:rsidR="00952AD4" w:rsidRPr="005A5D0E" w:rsidRDefault="00952AD4" w:rsidP="00952AD4">
      <w:pPr>
        <w:pStyle w:val="NoSpacing"/>
        <w:jc w:val="both"/>
      </w:pPr>
      <w:r w:rsidRPr="00BD7851">
        <w:t>Note: Any confidential items should be submitted as confidential filings with the PUC.  The instructions for filing confidential documents can be found on our website at: (http://www.puc.texas.gov/industry/filings/FilingProceed.aspx).</w:t>
      </w:r>
    </w:p>
    <w:p w14:paraId="03F273E6" w14:textId="77777777" w:rsidR="00952AD4" w:rsidRDefault="00952AD4" w:rsidP="008C469B">
      <w:pPr>
        <w:tabs>
          <w:tab w:val="left" w:pos="1170"/>
        </w:tabs>
        <w:spacing w:after="120"/>
      </w:pPr>
    </w:p>
    <w:sectPr w:rsidR="00952AD4" w:rsidSect="008262FF">
      <w:headerReference w:type="default" r:id="rId9"/>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AB70E9" w14:textId="77777777" w:rsidR="003B1CFC" w:rsidRDefault="003B1CFC">
      <w:r>
        <w:separator/>
      </w:r>
    </w:p>
  </w:endnote>
  <w:endnote w:type="continuationSeparator" w:id="0">
    <w:p w14:paraId="6B4F858B" w14:textId="77777777" w:rsidR="003B1CFC" w:rsidRDefault="003B1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149784" w14:textId="77777777" w:rsidR="003B1CFC" w:rsidRDefault="003B1CFC">
      <w:r>
        <w:separator/>
      </w:r>
    </w:p>
  </w:footnote>
  <w:footnote w:type="continuationSeparator" w:id="0">
    <w:p w14:paraId="4588D551" w14:textId="77777777" w:rsidR="003B1CFC" w:rsidRDefault="003B1CFC">
      <w:r>
        <w:continuationSeparator/>
      </w:r>
    </w:p>
  </w:footnote>
  <w:footnote w:id="1">
    <w:p w14:paraId="1AF5C4AB" w14:textId="09831942" w:rsidR="00C10F05" w:rsidRDefault="00C10F05">
      <w:pPr>
        <w:pStyle w:val="FootnoteText"/>
      </w:pPr>
      <w:r>
        <w:tab/>
      </w:r>
      <w:r>
        <w:rPr>
          <w:rStyle w:val="FootnoteReference"/>
        </w:rPr>
        <w:footnoteRef/>
      </w:r>
      <w:r>
        <w:t xml:space="preserve">  A single piece of property may be comprised of multiple parcels.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FA1642" w14:textId="77777777" w:rsidR="00DA36E8" w:rsidRDefault="00DA36E8">
    <w:pPr>
      <w:pStyle w:val="Header"/>
      <w:jc w:val="center"/>
      <w:rPr>
        <w:b/>
        <w:i/>
        <w:sz w:val="38"/>
      </w:rPr>
    </w:pPr>
    <w:r>
      <w:rPr>
        <w:b/>
        <w:i/>
        <w:sz w:val="38"/>
      </w:rPr>
      <w:t>Public Utility Commission of Texas</w:t>
    </w:r>
  </w:p>
  <w:p w14:paraId="4D34AEDA"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7924C8F8"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A0FB9A"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A9324D"/>
    <w:multiLevelType w:val="hybridMultilevel"/>
    <w:tmpl w:val="9E709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5">
      <w:start w:val="1"/>
      <w:numFmt w:val="upperLetter"/>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B3D5651"/>
    <w:multiLevelType w:val="hybridMultilevel"/>
    <w:tmpl w:val="B2DAD032"/>
    <w:lvl w:ilvl="0" w:tplc="D610D7C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3E4C2B8C"/>
    <w:multiLevelType w:val="hybridMultilevel"/>
    <w:tmpl w:val="9ED03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94C7DD6"/>
    <w:multiLevelType w:val="hybridMultilevel"/>
    <w:tmpl w:val="79AE70EA"/>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 w15:restartNumberingAfterBreak="0">
    <w:nsid w:val="6AB73BD5"/>
    <w:multiLevelType w:val="hybridMultilevel"/>
    <w:tmpl w:val="065AFD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BD17AA4"/>
    <w:multiLevelType w:val="hybridMultilevel"/>
    <w:tmpl w:val="35AA0652"/>
    <w:lvl w:ilvl="0" w:tplc="AB52E288">
      <w:start w:val="1"/>
      <w:numFmt w:val="decimal"/>
      <w:lvlText w:val="%1."/>
      <w:lvlJc w:val="left"/>
      <w:pPr>
        <w:ind w:left="720" w:hanging="360"/>
      </w:pPr>
      <w:rPr>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1"/>
  </w:num>
  <w:num w:numId="4">
    <w:abstractNumId w:val="5"/>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2C13"/>
    <w:rsid w:val="000B5BCB"/>
    <w:rsid w:val="000E0F5B"/>
    <w:rsid w:val="000F6A1A"/>
    <w:rsid w:val="00116570"/>
    <w:rsid w:val="001626F9"/>
    <w:rsid w:val="001851C1"/>
    <w:rsid w:val="001A0470"/>
    <w:rsid w:val="001E2DD2"/>
    <w:rsid w:val="00221645"/>
    <w:rsid w:val="0028111B"/>
    <w:rsid w:val="0028447E"/>
    <w:rsid w:val="0028502C"/>
    <w:rsid w:val="002C00B8"/>
    <w:rsid w:val="002D377A"/>
    <w:rsid w:val="00301D23"/>
    <w:rsid w:val="003660F6"/>
    <w:rsid w:val="00375626"/>
    <w:rsid w:val="003A4666"/>
    <w:rsid w:val="003B1CFC"/>
    <w:rsid w:val="004249AC"/>
    <w:rsid w:val="00440B36"/>
    <w:rsid w:val="004669AE"/>
    <w:rsid w:val="004B2A5C"/>
    <w:rsid w:val="00507871"/>
    <w:rsid w:val="00527DAE"/>
    <w:rsid w:val="00544C7B"/>
    <w:rsid w:val="005F5557"/>
    <w:rsid w:val="006578B8"/>
    <w:rsid w:val="00677271"/>
    <w:rsid w:val="006813F2"/>
    <w:rsid w:val="006C520C"/>
    <w:rsid w:val="00702B7B"/>
    <w:rsid w:val="00711FED"/>
    <w:rsid w:val="007A24BE"/>
    <w:rsid w:val="007A4401"/>
    <w:rsid w:val="007C4680"/>
    <w:rsid w:val="007E4EE0"/>
    <w:rsid w:val="007F67E1"/>
    <w:rsid w:val="008211A3"/>
    <w:rsid w:val="008262FF"/>
    <w:rsid w:val="00841F58"/>
    <w:rsid w:val="008514FC"/>
    <w:rsid w:val="00853D5E"/>
    <w:rsid w:val="00881919"/>
    <w:rsid w:val="008C469B"/>
    <w:rsid w:val="0091083F"/>
    <w:rsid w:val="00937B97"/>
    <w:rsid w:val="00952AD4"/>
    <w:rsid w:val="0096280E"/>
    <w:rsid w:val="00962F92"/>
    <w:rsid w:val="00995C02"/>
    <w:rsid w:val="009C201F"/>
    <w:rsid w:val="009E3083"/>
    <w:rsid w:val="009E4929"/>
    <w:rsid w:val="00A7691E"/>
    <w:rsid w:val="00A829A7"/>
    <w:rsid w:val="00AA70F7"/>
    <w:rsid w:val="00AA7844"/>
    <w:rsid w:val="00AC666D"/>
    <w:rsid w:val="00AD231C"/>
    <w:rsid w:val="00B14DF1"/>
    <w:rsid w:val="00B32C13"/>
    <w:rsid w:val="00B56DD2"/>
    <w:rsid w:val="00B758C4"/>
    <w:rsid w:val="00B8494A"/>
    <w:rsid w:val="00BC2876"/>
    <w:rsid w:val="00BC779E"/>
    <w:rsid w:val="00BD7851"/>
    <w:rsid w:val="00C10F05"/>
    <w:rsid w:val="00C164DC"/>
    <w:rsid w:val="00C2144F"/>
    <w:rsid w:val="00C432E1"/>
    <w:rsid w:val="00C513A9"/>
    <w:rsid w:val="00CB7E7F"/>
    <w:rsid w:val="00CF36AB"/>
    <w:rsid w:val="00D250B4"/>
    <w:rsid w:val="00DA36E8"/>
    <w:rsid w:val="00DE2893"/>
    <w:rsid w:val="00DE5EB3"/>
    <w:rsid w:val="00E645AC"/>
    <w:rsid w:val="00E6595B"/>
    <w:rsid w:val="00E94FA3"/>
    <w:rsid w:val="00EA5690"/>
    <w:rsid w:val="00EB5487"/>
    <w:rsid w:val="00EC6F92"/>
    <w:rsid w:val="00FB29C1"/>
    <w:rsid w:val="00FD78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2138DB"/>
  <w15:chartTrackingRefBased/>
  <w15:docId w15:val="{4497F374-E722-4E36-BD97-843812215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uiPriority w:val="99"/>
    <w:rsid w:val="00952AD4"/>
    <w:rPr>
      <w:sz w:val="16"/>
      <w:szCs w:val="16"/>
    </w:rPr>
  </w:style>
  <w:style w:type="paragraph" w:styleId="CommentText">
    <w:name w:val="annotation text"/>
    <w:basedOn w:val="Normal"/>
    <w:link w:val="CommentTextChar"/>
    <w:uiPriority w:val="99"/>
    <w:rsid w:val="00952AD4"/>
    <w:pPr>
      <w:jc w:val="left"/>
    </w:pPr>
    <w:rPr>
      <w:rFonts w:cs="Baskerville Old Face"/>
      <w:sz w:val="20"/>
    </w:rPr>
  </w:style>
  <w:style w:type="character" w:customStyle="1" w:styleId="CommentTextChar">
    <w:name w:val="Comment Text Char"/>
    <w:basedOn w:val="DefaultParagraphFont"/>
    <w:link w:val="CommentText"/>
    <w:uiPriority w:val="99"/>
    <w:rsid w:val="00952AD4"/>
    <w:rPr>
      <w:rFonts w:cs="Baskerville Old Face"/>
    </w:rPr>
  </w:style>
  <w:style w:type="character" w:styleId="Hyperlink">
    <w:name w:val="Hyperlink"/>
    <w:rsid w:val="00952AD4"/>
    <w:rPr>
      <w:color w:val="0000FF"/>
      <w:u w:val="single"/>
    </w:rPr>
  </w:style>
  <w:style w:type="paragraph" w:styleId="ListParagraph">
    <w:name w:val="List Paragraph"/>
    <w:basedOn w:val="Normal"/>
    <w:uiPriority w:val="34"/>
    <w:qFormat/>
    <w:rsid w:val="00952AD4"/>
    <w:pPr>
      <w:widowControl w:val="0"/>
      <w:autoSpaceDE w:val="0"/>
      <w:autoSpaceDN w:val="0"/>
      <w:adjustRightInd w:val="0"/>
      <w:ind w:left="720"/>
      <w:contextualSpacing/>
      <w:jc w:val="left"/>
    </w:pPr>
    <w:rPr>
      <w:szCs w:val="24"/>
    </w:rPr>
  </w:style>
  <w:style w:type="paragraph" w:styleId="NoSpacing">
    <w:name w:val="No Spacing"/>
    <w:uiPriority w:val="1"/>
    <w:qFormat/>
    <w:rsid w:val="00952AD4"/>
    <w:rPr>
      <w:rFonts w:eastAsia="Calibri"/>
      <w:sz w:val="24"/>
      <w:szCs w:val="22"/>
    </w:rPr>
  </w:style>
  <w:style w:type="paragraph" w:styleId="CommentSubject">
    <w:name w:val="annotation subject"/>
    <w:basedOn w:val="CommentText"/>
    <w:next w:val="CommentText"/>
    <w:link w:val="CommentSubjectChar"/>
    <w:uiPriority w:val="99"/>
    <w:semiHidden/>
    <w:unhideWhenUsed/>
    <w:rsid w:val="00B32C13"/>
    <w:pPr>
      <w:jc w:val="both"/>
    </w:pPr>
    <w:rPr>
      <w:rFonts w:cs="Times New Roman"/>
      <w:b/>
      <w:bCs/>
    </w:rPr>
  </w:style>
  <w:style w:type="character" w:customStyle="1" w:styleId="CommentSubjectChar">
    <w:name w:val="Comment Subject Char"/>
    <w:basedOn w:val="CommentTextChar"/>
    <w:link w:val="CommentSubject"/>
    <w:uiPriority w:val="99"/>
    <w:semiHidden/>
    <w:rsid w:val="00B32C13"/>
    <w:rPr>
      <w:rFonts w:cs="Baskerville Old Face"/>
      <w:b/>
      <w:bCs/>
    </w:rPr>
  </w:style>
  <w:style w:type="paragraph" w:styleId="FootnoteText">
    <w:name w:val="footnote text"/>
    <w:basedOn w:val="Normal"/>
    <w:link w:val="FootnoteTextChar"/>
    <w:uiPriority w:val="99"/>
    <w:semiHidden/>
    <w:unhideWhenUsed/>
    <w:rsid w:val="00B758C4"/>
    <w:rPr>
      <w:sz w:val="20"/>
    </w:rPr>
  </w:style>
  <w:style w:type="character" w:customStyle="1" w:styleId="FootnoteTextChar">
    <w:name w:val="Footnote Text Char"/>
    <w:basedOn w:val="DefaultParagraphFont"/>
    <w:link w:val="FootnoteText"/>
    <w:uiPriority w:val="99"/>
    <w:semiHidden/>
    <w:rsid w:val="00B758C4"/>
  </w:style>
  <w:style w:type="character" w:styleId="FootnoteReference">
    <w:name w:val="footnote reference"/>
    <w:basedOn w:val="DefaultParagraphFont"/>
    <w:uiPriority w:val="99"/>
    <w:semiHidden/>
    <w:unhideWhenUsed/>
    <w:rsid w:val="00B758C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9699102">
      <w:bodyDiv w:val="1"/>
      <w:marLeft w:val="0"/>
      <w:marRight w:val="0"/>
      <w:marTop w:val="0"/>
      <w:marBottom w:val="0"/>
      <w:divBdr>
        <w:top w:val="none" w:sz="0" w:space="0" w:color="auto"/>
        <w:left w:val="none" w:sz="0" w:space="0" w:color="auto"/>
        <w:bottom w:val="none" w:sz="0" w:space="0" w:color="auto"/>
        <w:right w:val="none" w:sz="0" w:space="0" w:color="auto"/>
      </w:divBdr>
      <w:divsChild>
        <w:div w:id="343015653">
          <w:marLeft w:val="0"/>
          <w:marRight w:val="0"/>
          <w:marTop w:val="0"/>
          <w:marBottom w:val="0"/>
          <w:divBdr>
            <w:top w:val="none" w:sz="0" w:space="0" w:color="auto"/>
            <w:left w:val="none" w:sz="0" w:space="0" w:color="auto"/>
            <w:bottom w:val="none" w:sz="0" w:space="0" w:color="auto"/>
            <w:right w:val="none" w:sz="0" w:space="0" w:color="auto"/>
          </w:divBdr>
        </w:div>
      </w:divsChild>
    </w:div>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harris\AppData\Local\Microsoft\Windows\INetCache\Content.Outlook\0NU8QG9C\CCN%20Deficiency%20Memo%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7EE2B7-9BFD-43DC-A84F-59E38BB4E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Deficiency Memo (blank)</Template>
  <TotalTime>17</TotalTime>
  <Pages>2</Pages>
  <Words>702</Words>
  <Characters>4003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4696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Maloy, Alicia</dc:creator>
  <cp:keywords/>
  <cp:lastModifiedBy>Lander, Merritt</cp:lastModifiedBy>
  <cp:revision>4</cp:revision>
  <cp:lastPrinted>2014-10-31T15:06:00Z</cp:lastPrinted>
  <dcterms:created xsi:type="dcterms:W3CDTF">2021-02-05T00:06:00Z</dcterms:created>
  <dcterms:modified xsi:type="dcterms:W3CDTF">2021-02-05T14:36:00Z</dcterms:modified>
</cp:coreProperties>
</file>